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color w:val="7030A0"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72"/>
          <w:szCs w:val="72"/>
        </w:rPr>
        <w:t>紫荆商界领袖培育计划</w:t>
      </w:r>
    </w:p>
    <w:p>
      <w:pPr>
        <w:jc w:val="center"/>
        <w:rPr>
          <w:rFonts w:ascii="微软雅黑" w:hAnsi="微软雅黑" w:eastAsia="微软雅黑" w:cs="微软雅黑"/>
          <w:b/>
          <w:bCs/>
          <w:i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FF0000"/>
          <w:sz w:val="72"/>
          <w:szCs w:val="72"/>
        </w:rPr>
        <w:t>上市</w:t>
      </w:r>
      <w:r>
        <w:rPr>
          <w:rFonts w:hint="eastAsia" w:ascii="微软雅黑" w:hAnsi="微软雅黑" w:eastAsia="微软雅黑" w:cs="微软雅黑"/>
          <w:b/>
          <w:bCs/>
          <w:i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直通车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一、项目背景：</w:t>
      </w:r>
    </w:p>
    <w:p>
      <w:pPr>
        <w:ind w:firstLine="420" w:firstLineChars="200"/>
        <w:rPr>
          <w:rFonts w:ascii="微软雅黑" w:hAnsi="微软雅黑" w:eastAsia="微软雅黑" w:cs="微软雅黑"/>
          <w:sz w:val="24"/>
        </w:rPr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894715</wp:posOffset>
            </wp:positionH>
            <wp:positionV relativeFrom="page">
              <wp:posOffset>6162675</wp:posOffset>
            </wp:positionV>
            <wp:extent cx="5838825" cy="1190625"/>
            <wp:effectExtent l="0" t="0" r="9525" b="9525"/>
            <wp:wrapTopAndBottom/>
            <wp:docPr id="107374183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officeArt object"/>
                    <pic:cNvPicPr>
                      <a:picLocks noChangeAspect="1"/>
                    </pic:cNvPicPr>
                  </pic:nvPicPr>
                  <pic:blipFill>
                    <a:blip r:embed="rId5"/>
                    <a:srcRect l="-125" r="1" b="8126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</w:rPr>
        <w:t>国家“十三五”规划顺利实施以来，中国经济建设取得重大成就。如何把握国家战略机遇？如何应对不断变化的环境？如何借用资本力量助力企业发展？从现代经济发展趋势来看，上市、并购、重组是企业做大做强的重要方法和途径。在完善主板市场，积极发展创业板、新三板、科创板的政策指导下，各行业优秀企业将通过上市、并购、重组获得再次发展腾飞的机会。作为优秀企业家应该把握时代脉搏，培养资本运作思维，掌握资本工具，借用资本力量，打造顶级创新型企业，成为商界领袖。</w:t>
      </w:r>
    </w:p>
    <w:p>
      <w:pPr>
        <w:ind w:firstLine="56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二、合作机构：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《紫荆商界领袖培育计划—上市直通车》联合宏时资本、红杉资本、IDG                         资本、九鼎投资管理集团、启迪控股、京师律师事务所、立信会计师事务所、中信证券等机构；邀请清华、北大等高校知名教授和学术泰斗，共同培育优秀企业家成为商届领袖，为企业家搭建企业上市及投融资的高端商学平台。将学员企业打造成具备超强竞争力的上市公司；并为公司并购、重组提供全流程的服务。</w:t>
      </w:r>
    </w:p>
    <w:p>
      <w:pPr>
        <w:spacing w:before="156" w:beforeLines="50"/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215900</wp:posOffset>
            </wp:positionV>
            <wp:extent cx="6191250" cy="3590925"/>
            <wp:effectExtent l="76200" t="0" r="57150" b="0"/>
            <wp:wrapNone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三、课程特色：</w:t>
      </w: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</w:p>
    <w:p>
      <w:pPr>
        <w:rPr>
          <w:rFonts w:hint="eastAsia" w:ascii="微软雅黑" w:hAnsi="微软雅黑" w:eastAsia="微软雅黑" w:cs="微软雅黑"/>
          <w:sz w:val="24"/>
        </w:rPr>
      </w:pP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四、培养目标：</w:t>
      </w:r>
    </w:p>
    <w:p>
      <w:pPr>
        <w:numPr>
          <w:ilvl w:val="0"/>
          <w:numId w:val="1"/>
        </w:numPr>
        <w:ind w:hanging="5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建立资本思维，掌握资本工具，培育优质企业登陆资本市场。</w:t>
      </w:r>
    </w:p>
    <w:p>
      <w:pPr>
        <w:numPr>
          <w:ilvl w:val="0"/>
          <w:numId w:val="1"/>
        </w:numPr>
        <w:ind w:hanging="5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打造优质企业成为上市公司并购标的。</w:t>
      </w:r>
    </w:p>
    <w:p>
      <w:pPr>
        <w:numPr>
          <w:ilvl w:val="0"/>
          <w:numId w:val="1"/>
        </w:numPr>
        <w:ind w:hanging="5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为企业作好战略规划与发展布局，以上市公司标准重铸企业。</w:t>
      </w: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五、课程设置：</w:t>
      </w:r>
    </w:p>
    <w:tbl>
      <w:tblPr>
        <w:tblStyle w:val="5"/>
        <w:tblW w:w="9782" w:type="dxa"/>
        <w:tblInd w:w="-441" w:type="dxa"/>
        <w:tblBorders>
          <w:top w:val="double" w:color="7030A0" w:sz="4" w:space="0"/>
          <w:left w:val="double" w:color="7030A0" w:sz="4" w:space="0"/>
          <w:bottom w:val="double" w:color="7030A0" w:sz="4" w:space="0"/>
          <w:right w:val="double" w:color="7030A0" w:sz="4" w:space="0"/>
          <w:insideH w:val="double" w:color="7030A0" w:sz="4" w:space="0"/>
          <w:insideV w:val="doub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4"/>
        <w:gridCol w:w="4838"/>
      </w:tblGrid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7030A0"/>
            <w:vAlign w:val="center"/>
          </w:tcPr>
          <w:p>
            <w:pPr>
              <w:spacing w:before="156" w:beforeLines="50"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1、新时代下企业上市战略规划与定位</w:t>
            </w:r>
          </w:p>
        </w:tc>
        <w:tc>
          <w:tcPr>
            <w:tcW w:w="4838" w:type="dxa"/>
            <w:shd w:val="clear" w:color="auto" w:fill="7030A0"/>
            <w:vAlign w:val="center"/>
          </w:tcPr>
          <w:p>
            <w:pPr>
              <w:spacing w:before="156" w:beforeLines="50"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2、新商业模式与商业思维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1.宏观经济与政策解读</w:t>
            </w:r>
          </w:p>
          <w:p>
            <w:pPr>
              <w:spacing w:before="156" w:beforeLines="50" w:line="300" w:lineRule="exact"/>
              <w:rPr>
                <w:rFonts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2.新经济时代企业资本市场战略顶层设计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3.企业资本战略路径选择与上市计划制定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收获：针对学员企业战略进行分析和诊断</w:t>
            </w:r>
          </w:p>
        </w:tc>
        <w:tc>
          <w:tcPr>
            <w:tcW w:w="4838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1.打破思维壁垒，重构商业模式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2.互联网+时代的商业模式创新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3.金融、资本驱动商业模式创新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收获：对学员企业商业模式重新梳理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7030A0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3、多地域、多层次资本市场</w:t>
            </w:r>
          </w:p>
        </w:tc>
        <w:tc>
          <w:tcPr>
            <w:tcW w:w="4838" w:type="dxa"/>
            <w:shd w:val="clear" w:color="auto" w:fill="7030A0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4、拟上市企业的资本协同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before="156" w:beforeLines="50" w:line="300" w:lineRule="exact"/>
              <w:rPr>
                <w:rFonts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1.A股、港股、美股等各类资本市场现状、未来发展趋势</w:t>
            </w:r>
          </w:p>
          <w:p>
            <w:pPr>
              <w:spacing w:before="156" w:beforeLines="50" w:line="300" w:lineRule="exact"/>
              <w:rPr>
                <w:rFonts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2.主板、科创板、新三板资本市场概论及挂牌条件</w:t>
            </w:r>
          </w:p>
          <w:p>
            <w:pPr>
              <w:spacing w:before="156" w:beforeLines="50" w:line="300" w:lineRule="exact"/>
              <w:rPr>
                <w:rFonts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3.香港、美国上市操作实务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收获：了解国内外各级资本市场，为企业选择上市路径及场所提供必要的知识与指导方向</w:t>
            </w:r>
          </w:p>
        </w:tc>
        <w:tc>
          <w:tcPr>
            <w:tcW w:w="4838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1.股权融资、债券融资操作实务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2.股权激励机制构建与实施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3.公司治理及估值并购重组</w:t>
            </w:r>
          </w:p>
          <w:p>
            <w:pPr>
              <w:spacing w:before="156" w:beforeLines="50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收获：了解股权融资、债权融资操作方法，以及合理利用股权激励提高公司业绩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  <w:shd w:val="clear" w:color="auto" w:fill="7030A0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5、股改方案与上市准备</w:t>
            </w:r>
          </w:p>
        </w:tc>
        <w:tc>
          <w:tcPr>
            <w:tcW w:w="4838" w:type="dxa"/>
            <w:shd w:val="clear" w:color="auto" w:fill="7030A0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6、IPO全流程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4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1.公司股改难点与方法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2.上市前的企业财务战略、税务筹划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3.上市前规范运作与法律法规解读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收获：指导学员清晰公司上市前股改难点与方法，制定财务战略，做好税收筹划，了解上市相关的法律法规</w:t>
            </w:r>
          </w:p>
        </w:tc>
        <w:tc>
          <w:tcPr>
            <w:tcW w:w="4838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1.企业上市标准、上市流程解读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2.协助上市合作机构的甄别与选择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3.当前IPO成功案例分析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收获：全面掌握企业IPO的整个过程，正确选择上市时券商、律师事务所等合作机构，帮助企业解决上市过程中可能面临的实际问题，助力企业顺利上市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44" w:type="dxa"/>
            <w:shd w:val="clear" w:color="auto" w:fill="7030A0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7、上市公司市值管理与企业价值塑造</w:t>
            </w:r>
          </w:p>
        </w:tc>
        <w:tc>
          <w:tcPr>
            <w:tcW w:w="4838" w:type="dxa"/>
            <w:shd w:val="clear" w:color="auto" w:fill="7030A0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8、科创板上市操作实务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944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1.市值管理意义和必要性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2.影响上市公司市值的重要因素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3.市值管理的主要方法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收获：了解影响上市公司市值的重要因素，市值管理的主要常见方法</w:t>
            </w:r>
          </w:p>
        </w:tc>
        <w:tc>
          <w:tcPr>
            <w:tcW w:w="4838" w:type="dxa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1.科创板拟上市公司的行业条件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2.科创板上市的基础打造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3.科创板上市的具体条件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收获：具体了解科创板上市具体规则与条件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82" w:type="dxa"/>
            <w:gridSpan w:val="2"/>
            <w:shd w:val="clear" w:color="auto" w:fill="7030A0"/>
            <w:vAlign w:val="center"/>
          </w:tcPr>
          <w:p>
            <w:pPr>
              <w:spacing w:before="156" w:beforeLines="5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9、商道伦理与企业家精神</w:t>
            </w:r>
          </w:p>
        </w:tc>
      </w:tr>
      <w:tr>
        <w:tblPrEx>
          <w:tblBorders>
            <w:top w:val="double" w:color="7030A0" w:sz="4" w:space="0"/>
            <w:left w:val="double" w:color="7030A0" w:sz="4" w:space="0"/>
            <w:bottom w:val="double" w:color="7030A0" w:sz="4" w:space="0"/>
            <w:right w:val="double" w:color="7030A0" w:sz="4" w:space="0"/>
            <w:insideH w:val="double" w:color="7030A0" w:sz="4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9782" w:type="dxa"/>
            <w:gridSpan w:val="2"/>
          </w:tcPr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1.儒家文化经典精神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2.家族企业传承与基业长青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3.毛泽东领导艺术与管理之道</w:t>
            </w:r>
          </w:p>
          <w:p>
            <w:pPr>
              <w:spacing w:before="156" w:beforeLines="50" w:line="300" w:lineRule="exact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4.国际知名商学院游学</w:t>
            </w:r>
          </w:p>
          <w:p>
            <w:pPr>
              <w:spacing w:before="156" w:beforeLines="50"/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 w:val="28"/>
                <w:szCs w:val="28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472C4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  <w:t>收获：升华企业家精神与社会责任感</w:t>
            </w:r>
          </w:p>
        </w:tc>
      </w:tr>
    </w:tbl>
    <w:p>
      <w:pPr>
        <w:spacing w:before="156" w:beforeLines="50"/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drawing>
          <wp:inline distT="0" distB="0" distL="0" distR="0">
            <wp:extent cx="5734050" cy="1238250"/>
            <wp:effectExtent l="0" t="0" r="0" b="0"/>
            <wp:docPr id="10" name="图片 10" descr="D:\360MoveData\Users\dell\Desktop\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360MoveData\Users\dell\Desktop\图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156" w:beforeLines="50"/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部分拟邀导师：</w:t>
      </w:r>
    </w:p>
    <w:p>
      <w:pPr>
        <w:rPr>
          <w:rFonts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color w:val="FF0000"/>
          <w:szCs w:val="21"/>
        </w:rPr>
        <w:t>注：讲师排名不分先后，拟邀师资如有变动，以最新通知为准。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李稻葵：</w:t>
      </w:r>
      <w:r>
        <w:rPr>
          <w:rFonts w:hint="eastAsia" w:ascii="微软雅黑" w:hAnsi="微软雅黑" w:eastAsia="微软雅黑" w:cs="微软雅黑"/>
          <w:sz w:val="24"/>
        </w:rPr>
        <w:t>清华大学经济管理学院教授，清华大学中国与世界经济研究中心主任，中国人民银行货币政策委员会委员。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b/>
          <w:bCs/>
          <w:sz w:val="24"/>
        </w:rPr>
        <w:t>姚景源</w:t>
      </w:r>
      <w:r>
        <w:rPr>
          <w:rFonts w:hint="eastAsia" w:ascii="微软雅黑" w:hAnsi="微软雅黑" w:eastAsia="微软雅黑" w:cs="微软雅黑"/>
          <w:sz w:val="24"/>
        </w:rPr>
        <w:t>：</w:t>
      </w:r>
      <w:r>
        <w:rPr>
          <w:rFonts w:ascii="微软雅黑" w:hAnsi="微软雅黑" w:eastAsia="微软雅黑" w:cs="微软雅黑"/>
          <w:sz w:val="24"/>
        </w:rPr>
        <w:t>著名经济学家</w:t>
      </w: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Fonts w:ascii="微软雅黑" w:hAnsi="微软雅黑" w:eastAsia="微软雅黑" w:cs="微软雅黑"/>
          <w:sz w:val="24"/>
        </w:rPr>
        <w:t>国务院参事特约研究员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王永利：</w:t>
      </w:r>
      <w:r>
        <w:rPr>
          <w:rFonts w:hint="eastAsia" w:ascii="微软雅黑" w:hAnsi="微软雅黑" w:eastAsia="微软雅黑" w:cs="微软雅黑"/>
          <w:sz w:val="24"/>
        </w:rPr>
        <w:t>中国银行原副行长、执行董事，中国国际期货公司副董事长、中国人民大学国际货币研究所学术委员，中国金融科技50任论坛高级学术顾问。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金占明：</w:t>
      </w:r>
      <w:r>
        <w:rPr>
          <w:rFonts w:hint="eastAsia" w:ascii="微软雅黑" w:hAnsi="微软雅黑" w:eastAsia="微软雅黑" w:cs="微软雅黑"/>
          <w:sz w:val="24"/>
        </w:rPr>
        <w:t>清华大学经济管理学院教授，博士后、企业管理系副主任，主要从事市场营销与战略管理的教学和研究工作。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b/>
          <w:bCs/>
          <w:sz w:val="24"/>
        </w:rPr>
        <w:t>钟</w:t>
      </w:r>
      <w:r>
        <w:rPr>
          <w:rFonts w:hint="eastAsia" w:ascii="微软雅黑" w:hAnsi="微软雅黑" w:eastAsia="微软雅黑" w:cs="微软雅黑"/>
          <w:b/>
          <w:bCs/>
          <w:sz w:val="24"/>
        </w:rPr>
        <w:t>鹏</w:t>
      </w:r>
      <w:r>
        <w:rPr>
          <w:rFonts w:ascii="微软雅黑" w:hAnsi="微软雅黑" w:eastAsia="微软雅黑" w:cs="微软雅黑"/>
          <w:b/>
          <w:bCs/>
          <w:sz w:val="24"/>
        </w:rPr>
        <w:t>荣</w:t>
      </w:r>
      <w:r>
        <w:rPr>
          <w:rFonts w:hint="eastAsia" w:ascii="微软雅黑" w:hAnsi="微软雅黑" w:eastAsia="微软雅黑" w:cs="微软雅黑"/>
          <w:sz w:val="24"/>
        </w:rPr>
        <w:t>：国务院政策研究机构资深经济学家，经济学硕士、历史学博士，国学专家；中国人民大学商界领袖学堂教授、博士生导师，北京大学经济学院研究员。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魏  杰：</w:t>
      </w:r>
      <w:r>
        <w:rPr>
          <w:rFonts w:hint="eastAsia" w:ascii="微软雅黑" w:hAnsi="微软雅黑" w:eastAsia="微软雅黑" w:cs="微软雅黑"/>
          <w:sz w:val="24"/>
        </w:rPr>
        <w:t>清华大学经管学院创新创业与战略系教授、清华同方讲席教授、博士后导师。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杜  兵：</w:t>
      </w:r>
      <w:r>
        <w:rPr>
          <w:rFonts w:hint="eastAsia" w:ascii="微软雅黑" w:hAnsi="微软雅黑" w:eastAsia="微软雅黑" w:cs="微软雅黑"/>
          <w:sz w:val="24"/>
        </w:rPr>
        <w:t>主板发审委员会委员，现任深圳宏时资本管理有限公司执行董事。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何茂春：</w:t>
      </w:r>
      <w:r>
        <w:rPr>
          <w:rFonts w:hint="eastAsia" w:ascii="微软雅黑" w:hAnsi="微软雅黑" w:eastAsia="微软雅黑" w:cs="微软雅黑"/>
          <w:sz w:val="24"/>
        </w:rPr>
        <w:t>清华大学社会可科学院国际关系学系教授、国务院参事、中国民主同盟中央委员，同盟中央经济委员会委员。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巴曙松：</w:t>
      </w:r>
      <w:r>
        <w:rPr>
          <w:rFonts w:hint="eastAsia" w:ascii="微软雅黑" w:hAnsi="微软雅黑" w:eastAsia="微软雅黑" w:cs="微软雅黑"/>
          <w:sz w:val="24"/>
        </w:rPr>
        <w:t>中国银行业协会首席经济学家，香港交易所首席中国经济学家，曾任国务院发展研究中心金融研究所副所长。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熊新翔：</w:t>
      </w:r>
      <w:r>
        <w:rPr>
          <w:rFonts w:hint="eastAsia" w:ascii="微软雅黑" w:hAnsi="微软雅黑" w:eastAsia="微软雅黑" w:cs="微软雅黑"/>
          <w:sz w:val="24"/>
        </w:rPr>
        <w:t>重庆市伯恩科技（集团）董事长兼CEO、重庆市工商联（总商会）副会长。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王功权：</w:t>
      </w:r>
      <w:r>
        <w:rPr>
          <w:rFonts w:hint="eastAsia" w:ascii="微软雅黑" w:hAnsi="微软雅黑" w:eastAsia="微软雅黑" w:cs="微软雅黑"/>
          <w:sz w:val="24"/>
        </w:rPr>
        <w:t>鼎晖创业投资基金合伙人及创始人之一，1993年任万通事业集团董事局副主席、总裁兼美国万通公司董事长。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孙立平：</w:t>
      </w:r>
      <w:r>
        <w:rPr>
          <w:rFonts w:hint="eastAsia" w:ascii="微软雅黑" w:hAnsi="微软雅黑" w:eastAsia="微软雅黑" w:cs="微软雅黑"/>
          <w:sz w:val="24"/>
        </w:rPr>
        <w:t>著名社会学家，清华大学社会科学院社会学系教授、指导。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房西苑：</w:t>
      </w:r>
      <w:r>
        <w:rPr>
          <w:rFonts w:hint="eastAsia" w:ascii="微软雅黑" w:hAnsi="微软雅黑" w:eastAsia="微软雅黑" w:cs="微软雅黑"/>
          <w:sz w:val="24"/>
        </w:rPr>
        <w:t>国际投融资专家，北京大学国情研究中心研究员，北大教授。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樊  纲：</w:t>
      </w:r>
      <w:r>
        <w:rPr>
          <w:rFonts w:hint="eastAsia" w:ascii="微软雅黑" w:hAnsi="微软雅黑" w:eastAsia="微软雅黑" w:cs="微软雅黑"/>
          <w:sz w:val="24"/>
        </w:rPr>
        <w:t>著名经济学家，中国经济变革研究基金会理事长，北京国民经济研究所所长，中国社会科学院教授。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魏  星：</w:t>
      </w:r>
      <w:r>
        <w:rPr>
          <w:rFonts w:hint="eastAsia" w:ascii="微软雅黑" w:hAnsi="微软雅黑" w:eastAsia="微软雅黑" w:cs="微软雅黑"/>
          <w:sz w:val="24"/>
        </w:rPr>
        <w:t>特许金融分析师（CFA），中信证券资产管理业务总监。银行合作模式的早期设计者之一。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徐  海：</w:t>
      </w:r>
      <w:r>
        <w:rPr>
          <w:rFonts w:hint="eastAsia" w:ascii="微软雅黑" w:hAnsi="微软雅黑" w:eastAsia="微软雅黑" w:cs="微软雅黑"/>
          <w:sz w:val="24"/>
        </w:rPr>
        <w:t>著名天使投资人易翎资本联合创始人、董事长兼总裁、商业模式专家。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周  立：</w:t>
      </w:r>
      <w:r>
        <w:rPr>
          <w:rFonts w:hint="eastAsia" w:ascii="微软雅黑" w:hAnsi="微软雅黑" w:eastAsia="微软雅黑" w:cs="微软雅黑"/>
          <w:sz w:val="24"/>
        </w:rPr>
        <w:t>著名财务、金融专家。现任清华大学经济管理学院会计系教授、研究员。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余维佳：</w:t>
      </w:r>
      <w:r>
        <w:rPr>
          <w:rFonts w:hint="eastAsia" w:ascii="微软雅黑" w:hAnsi="微软雅黑" w:eastAsia="微软雅黑" w:cs="微软雅黑"/>
          <w:sz w:val="24"/>
        </w:rPr>
        <w:t>中天国富证券董事长，毕业于天津大学，原西南证券总裁。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彭德强：</w:t>
      </w:r>
      <w:r>
        <w:rPr>
          <w:rFonts w:hint="eastAsia" w:ascii="微软雅黑" w:hAnsi="微软雅黑" w:eastAsia="微软雅黑" w:cs="微软雅黑"/>
          <w:sz w:val="24"/>
        </w:rPr>
        <w:t>并购与重组资本专家，中天国富证券投资银行部董事总经理保荐代表人。</w:t>
      </w: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七、录取条件：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</w:rPr>
        <w:t>满足以下任意一项即可申请：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①拟上市或上市公司董事长、总经理、董秘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②年营业额过亿或年净利过千万的企业董事长、总经理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③已融资规模千万以上的创新型企业董事长、总经理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④社会知名人士或对国家有突出贡献者可申请</w:t>
      </w:r>
    </w:p>
    <w:p>
      <w:pPr>
        <w:numPr>
          <w:ilvl w:val="0"/>
          <w:numId w:val="3"/>
        </w:numPr>
        <w:spacing w:before="156" w:beforeLines="50"/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教学方式：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教学语言以中文为主，采用课堂讲授、案例研讨、管理实战分析、情境模拟、名家论坛、项目作业、企业访谈、移动课堂、境外考察等多种教学方式，鼓励教授与学员间的双向沟通和学员间的相互交流。</w:t>
      </w:r>
    </w:p>
    <w:p>
      <w:pPr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九、课程收费：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29.8 万元（人民币）/人，包括听课费、讲义费、课间茶点费。不包括食宿、差旅及出国访学涉及的费用，每次课允许带一位公司部门负责人参加。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学制一年半，每两个月上课一次，每次上课三天。</w:t>
      </w:r>
    </w:p>
    <w:p>
      <w:p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十、授课地点：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清华大学＋移动课堂</w:t>
      </w:r>
    </w:p>
    <w:p>
      <w:pPr>
        <w:numPr>
          <w:ilvl w:val="0"/>
          <w:numId w:val="4"/>
        </w:num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报名程序：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正式报名表一份+学历、学位证书复印件一式两份+有效身份证复印件+2寸近期正冠两张+两张现任职务名片。</w:t>
      </w:r>
    </w:p>
    <w:p>
      <w:pPr>
        <w:numPr>
          <w:ilvl w:val="0"/>
          <w:numId w:val="4"/>
        </w:numPr>
        <w:spacing w:before="156" w:beforeLines="50"/>
        <w:rPr>
          <w:rFonts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联系方式：李老师：18911736083  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:lang w:val="en-US" w:eastAsia="zh-CN"/>
          <w14:textFill>
            <w14:solidFill>
              <w14:schemeClr w14:val="accent5"/>
            </w14:solidFill>
          </w14:textFill>
        </w:rPr>
        <w:t xml:space="preserve"> 微信：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L18911736083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</w:p>
    <w:sectPr>
      <w:headerReference r:id="rId3" w:type="default"/>
      <w:pgSz w:w="11906" w:h="16838"/>
      <w:pgMar w:top="1440" w:right="1406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152400" distB="152400" distL="152400" distR="152400" simplePos="0" relativeHeight="251659264" behindDoc="0" locked="0" layoutInCell="1" allowOverlap="1">
          <wp:simplePos x="0" y="0"/>
          <wp:positionH relativeFrom="page">
            <wp:posOffset>-4445</wp:posOffset>
          </wp:positionH>
          <wp:positionV relativeFrom="page">
            <wp:posOffset>16510</wp:posOffset>
          </wp:positionV>
          <wp:extent cx="7555865" cy="952500"/>
          <wp:effectExtent l="0" t="0" r="6985" b="0"/>
          <wp:wrapTopAndBottom/>
          <wp:docPr id="3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/>
                  <pic:cNvPicPr>
                    <a:picLocks noChangeAspect="1"/>
                  </pic:cNvPicPr>
                </pic:nvPicPr>
                <pic:blipFill>
                  <a:blip r:embed="rId1"/>
                  <a:srcRect t="1600" b="86081"/>
                  <a:stretch>
                    <a:fillRect/>
                  </a:stretch>
                </pic:blipFill>
                <pic:spPr>
                  <a:xfrm>
                    <a:off x="0" y="0"/>
                    <a:ext cx="7555865" cy="95250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36DAEE"/>
    <w:multiLevelType w:val="singleLevel"/>
    <w:tmpl w:val="C336DA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AAF6FEA"/>
    <w:multiLevelType w:val="singleLevel"/>
    <w:tmpl w:val="EAAF6F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5CC336"/>
    <w:multiLevelType w:val="singleLevel"/>
    <w:tmpl w:val="115CC33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C2434D"/>
    <w:multiLevelType w:val="singleLevel"/>
    <w:tmpl w:val="70C2434D"/>
    <w:lvl w:ilvl="0" w:tentative="0">
      <w:start w:val="8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176BA"/>
    <w:rsid w:val="000654EC"/>
    <w:rsid w:val="0007027F"/>
    <w:rsid w:val="00086608"/>
    <w:rsid w:val="000C2FB9"/>
    <w:rsid w:val="002101BB"/>
    <w:rsid w:val="002E56F9"/>
    <w:rsid w:val="002F274E"/>
    <w:rsid w:val="0035638C"/>
    <w:rsid w:val="003B76A9"/>
    <w:rsid w:val="003E189A"/>
    <w:rsid w:val="00462D41"/>
    <w:rsid w:val="00594FF5"/>
    <w:rsid w:val="005A0AF2"/>
    <w:rsid w:val="005B2B48"/>
    <w:rsid w:val="005F2250"/>
    <w:rsid w:val="0068111F"/>
    <w:rsid w:val="00707209"/>
    <w:rsid w:val="00785235"/>
    <w:rsid w:val="00790591"/>
    <w:rsid w:val="007D3A36"/>
    <w:rsid w:val="008F1F83"/>
    <w:rsid w:val="00903435"/>
    <w:rsid w:val="00924DE0"/>
    <w:rsid w:val="00961F82"/>
    <w:rsid w:val="00AE51D7"/>
    <w:rsid w:val="00B44113"/>
    <w:rsid w:val="00BF5362"/>
    <w:rsid w:val="00C00201"/>
    <w:rsid w:val="00D5419D"/>
    <w:rsid w:val="00D84C4A"/>
    <w:rsid w:val="00EC0B99"/>
    <w:rsid w:val="03571385"/>
    <w:rsid w:val="0E300A3D"/>
    <w:rsid w:val="1AB737DA"/>
    <w:rsid w:val="402659CD"/>
    <w:rsid w:val="4B4E7618"/>
    <w:rsid w:val="631C7201"/>
    <w:rsid w:val="6815383B"/>
    <w:rsid w:val="6EDF6438"/>
    <w:rsid w:val="70C8679B"/>
    <w:rsid w:val="7581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A35DC2-CA8C-4150-ADD5-353B1480CCE8}" type="doc">
      <dgm:prSet loTypeId="urn:microsoft.com/office/officeart/2005/8/layout/default" loCatId="list" qsTypeId="urn:microsoft.com/office/officeart/2005/8/quickstyle/simple5" qsCatId="simple" csTypeId="urn:microsoft.com/office/officeart/2005/8/colors/accent5_3" csCatId="accent5" phldr="1"/>
      <dgm:spPr/>
      <dgm:t>
        <a:bodyPr/>
        <a:p>
          <a:endParaRPr lang="zh-CN" altLang="en-US"/>
        </a:p>
      </dgm:t>
    </dgm:pt>
    <dgm:pt modelId="{D327427F-59DA-40C1-A32D-3F895DA53B9E}">
      <dgm:prSet phldrT="[文本]" custT="1"/>
      <dgm:spPr>
        <a:solidFill>
          <a:srgbClr val="7030A0"/>
        </a:solidFill>
      </dgm:spPr>
      <dgm:t>
        <a:bodyPr/>
        <a:p>
          <a:pPr algn="l"/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企业战略规划：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algn="l"/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认清当前经济形势、企业发展现状、做好企业战略规划</a:t>
          </a:r>
          <a:r>
            <a:rPr lang="zh-CN" sz="1200">
              <a:latin typeface="微软雅黑" panose="020B0503020204020204" pitchFamily="2" charset="-122"/>
              <a:ea typeface="微软雅黑" panose="020B0503020204020204" pitchFamily="2" charset="-122"/>
            </a:rPr>
            <a:t>。</a:t>
          </a:r>
          <a:endParaRPr lang="zh-CN" altLang="en-US" sz="12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6F509C0-4224-406C-8FD3-F972AF10B99D}" cxnId="{54508B07-2CC3-406B-BCE4-6E769861BF80}" type="parTrans">
      <dgm:prSet/>
      <dgm:spPr/>
      <dgm:t>
        <a:bodyPr/>
        <a:p>
          <a:endParaRPr lang="zh-CN" altLang="en-US"/>
        </a:p>
      </dgm:t>
    </dgm:pt>
    <dgm:pt modelId="{FE32DB41-EA1D-442F-949E-0026BAE4FE76}" cxnId="{54508B07-2CC3-406B-BCE4-6E769861BF80}" type="sibTrans">
      <dgm:prSet/>
      <dgm:spPr/>
      <dgm:t>
        <a:bodyPr/>
        <a:p>
          <a:endParaRPr lang="zh-CN" altLang="en-US"/>
        </a:p>
      </dgm:t>
    </dgm:pt>
    <dgm:pt modelId="{825E3CF3-33C1-446A-8F56-AAB8195DCB46}">
      <dgm:prSet phldrT="[文本]" custT="1"/>
      <dgm:spPr>
        <a:solidFill>
          <a:srgbClr val="7030A0"/>
        </a:solidFill>
      </dgm:spPr>
      <dgm:t>
        <a:bodyPr/>
        <a:p>
          <a:pPr algn="l"/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上市直通车：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algn="l"/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规划上市途径、指导企业上市融资并购、市值管理。</a:t>
          </a:r>
          <a:endParaRPr lang="zh-CN" altLang="en-US" sz="12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915BD15-272A-43DA-8AB9-21C47800779A}" cxnId="{16F22EC8-9AC6-4021-AABF-9BE0F0CD8035}" type="parTrans">
      <dgm:prSet/>
      <dgm:spPr/>
      <dgm:t>
        <a:bodyPr/>
        <a:p>
          <a:endParaRPr lang="zh-CN" altLang="en-US"/>
        </a:p>
      </dgm:t>
    </dgm:pt>
    <dgm:pt modelId="{788BD90B-7F1F-4C55-A85A-A6DC15FD8C69}" cxnId="{16F22EC8-9AC6-4021-AABF-9BE0F0CD8035}" type="sibTrans">
      <dgm:prSet/>
      <dgm:spPr/>
      <dgm:t>
        <a:bodyPr/>
        <a:p>
          <a:endParaRPr lang="zh-CN" altLang="en-US"/>
        </a:p>
      </dgm:t>
    </dgm:pt>
    <dgm:pt modelId="{26F18816-5024-4EB2-B2F1-DE6C6486E4A5}">
      <dgm:prSet phldrT="[文本]" custT="1"/>
      <dgm:spPr>
        <a:solidFill>
          <a:srgbClr val="7030A0"/>
        </a:solidFill>
      </dgm:spPr>
      <dgm:t>
        <a:bodyPr/>
        <a:p>
          <a:pPr algn="l"/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金融力建设：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algn="l"/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量身打造适合企业发展的投、融资决策方案。</a:t>
          </a:r>
        </a:p>
      </dgm:t>
    </dgm:pt>
    <dgm:pt modelId="{0D3840A0-0732-4DC2-A6CB-5616102634D8}" cxnId="{2710F129-6735-4FA7-AA39-77DDD85B1A53}" type="parTrans">
      <dgm:prSet/>
      <dgm:spPr/>
      <dgm:t>
        <a:bodyPr/>
        <a:p>
          <a:endParaRPr lang="zh-CN" altLang="en-US"/>
        </a:p>
      </dgm:t>
    </dgm:pt>
    <dgm:pt modelId="{3FB67953-6D6E-40EF-83E0-54CBFD86138E}" cxnId="{2710F129-6735-4FA7-AA39-77DDD85B1A53}" type="sibTrans">
      <dgm:prSet/>
      <dgm:spPr/>
      <dgm:t>
        <a:bodyPr/>
        <a:p>
          <a:endParaRPr lang="zh-CN" altLang="en-US"/>
        </a:p>
      </dgm:t>
    </dgm:pt>
    <dgm:pt modelId="{0738039E-F665-4F9C-A1F3-D10B9293B580}">
      <dgm:prSet phldrT="[文本]" custT="1"/>
      <dgm:spPr>
        <a:solidFill>
          <a:srgbClr val="7030A0"/>
        </a:solidFill>
      </dgm:spPr>
      <dgm:t>
        <a:bodyPr/>
        <a:p>
          <a:pPr algn="l"/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导师负责制：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algn="l"/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导师了解、点评学员企业，指导解决企业投融资系列问题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。</a:t>
          </a:r>
        </a:p>
      </dgm:t>
    </dgm:pt>
    <dgm:pt modelId="{6624FD53-AC43-4BA7-9669-633D035C6FFA}" cxnId="{D3673C90-28F3-4A46-9EC3-588E9F30F188}" type="parTrans">
      <dgm:prSet/>
      <dgm:spPr/>
      <dgm:t>
        <a:bodyPr/>
        <a:p>
          <a:endParaRPr lang="zh-CN" altLang="en-US"/>
        </a:p>
      </dgm:t>
    </dgm:pt>
    <dgm:pt modelId="{AE8954FF-95D1-42F2-8313-4DC1CB535EAD}" cxnId="{D3673C90-28F3-4A46-9EC3-588E9F30F188}" type="sibTrans">
      <dgm:prSet/>
      <dgm:spPr/>
      <dgm:t>
        <a:bodyPr/>
        <a:p>
          <a:endParaRPr lang="zh-CN" altLang="en-US"/>
        </a:p>
      </dgm:t>
    </dgm:pt>
    <dgm:pt modelId="{8607A97C-5790-437B-A253-D5FC3631E214}">
      <dgm:prSet phldrT="[文本]" custT="1"/>
      <dgm:spPr>
        <a:solidFill>
          <a:srgbClr val="7030A0"/>
        </a:solidFill>
      </dgm:spPr>
      <dgm:t>
        <a:bodyPr/>
        <a:p>
          <a:pPr algn="l"/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上市资源对接：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algn="l"/>
          <a:r>
            <a:rPr lang="zh-CN" alt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广泛结交企业上市各环节人脉与知名企业家分享商道人生</a:t>
          </a:r>
          <a:r>
            <a:rPr lang="zh-CN" altLang="en-US" sz="1200">
              <a:latin typeface="微软雅黑" panose="020B0503020204020204" pitchFamily="2" charset="-122"/>
              <a:ea typeface="微软雅黑" panose="020B0503020204020204" pitchFamily="2" charset="-122"/>
            </a:rPr>
            <a:t>。</a:t>
          </a:r>
        </a:p>
      </dgm:t>
    </dgm:pt>
    <dgm:pt modelId="{2AEAA901-9091-42D9-B4A4-FACB4D75003B}" cxnId="{6CBC51AB-4F7F-4F59-9F04-0FB4E72BA16B}" type="parTrans">
      <dgm:prSet/>
      <dgm:spPr/>
      <dgm:t>
        <a:bodyPr/>
        <a:p>
          <a:endParaRPr lang="zh-CN" altLang="en-US"/>
        </a:p>
      </dgm:t>
    </dgm:pt>
    <dgm:pt modelId="{F3B9DE1B-2262-4000-9CD5-C95B44E5ACAC}" cxnId="{6CBC51AB-4F7F-4F59-9F04-0FB4E72BA16B}" type="sibTrans">
      <dgm:prSet/>
      <dgm:spPr/>
      <dgm:t>
        <a:bodyPr/>
        <a:p>
          <a:endParaRPr lang="zh-CN" altLang="en-US"/>
        </a:p>
      </dgm:t>
    </dgm:pt>
    <dgm:pt modelId="{B65F4B97-DAF2-49CD-8848-D24925D32427}">
      <dgm:prSet phldrT="[文本]" custT="1"/>
      <dgm:spPr>
        <a:solidFill>
          <a:srgbClr val="7030A0"/>
        </a:solidFill>
      </dgm:spPr>
      <dgm:t>
        <a:bodyPr/>
        <a:p>
          <a:pPr algn="l"/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新颖落地课：</a:t>
          </a:r>
          <a:endParaRPr lang="en-US" altLang="zh-CN" sz="1200" b="1">
            <a:latin typeface="微软雅黑" panose="020B0503020204020204" pitchFamily="2" charset="-122"/>
            <a:ea typeface="微软雅黑" panose="020B0503020204020204" pitchFamily="2" charset="-122"/>
          </a:endParaRPr>
        </a:p>
        <a:p>
          <a:pPr algn="l"/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以上市全流程为主线、专题讲授</a:t>
          </a:r>
          <a:r>
            <a:rPr 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+</a:t>
          </a:r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案例分析</a:t>
          </a:r>
          <a:r>
            <a:rPr lang="en-US" sz="1200" b="1">
              <a:latin typeface="微软雅黑" panose="020B0503020204020204" pitchFamily="2" charset="-122"/>
              <a:ea typeface="微软雅黑" panose="020B0503020204020204" pitchFamily="2" charset="-122"/>
            </a:rPr>
            <a:t>+</a:t>
          </a:r>
          <a:r>
            <a:rPr lang="zh-CN" sz="1200" b="1">
              <a:latin typeface="微软雅黑" panose="020B0503020204020204" pitchFamily="2" charset="-122"/>
              <a:ea typeface="微软雅黑" panose="020B0503020204020204" pitchFamily="2" charset="-122"/>
            </a:rPr>
            <a:t>提问答疑。</a:t>
          </a:r>
          <a:endParaRPr lang="zh-CN" altLang="en-US" sz="1200" b="1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E13284A7-5874-4AF7-B8A5-4D9AA136EF17}" cxnId="{DEFFC8F1-516F-470F-ABBA-759B70660196}" type="parTrans">
      <dgm:prSet/>
      <dgm:spPr/>
      <dgm:t>
        <a:bodyPr/>
        <a:p>
          <a:endParaRPr lang="zh-CN" altLang="en-US"/>
        </a:p>
      </dgm:t>
    </dgm:pt>
    <dgm:pt modelId="{99EFF063-6C23-4982-9063-C9CD55ED0C5C}" cxnId="{DEFFC8F1-516F-470F-ABBA-759B70660196}" type="sibTrans">
      <dgm:prSet/>
      <dgm:spPr/>
      <dgm:t>
        <a:bodyPr/>
        <a:p>
          <a:endParaRPr lang="zh-CN" altLang="en-US"/>
        </a:p>
      </dgm:t>
    </dgm:pt>
    <dgm:pt modelId="{51DED09B-2704-4299-96DB-1C52B07C069C}" type="pres">
      <dgm:prSet presAssocID="{D8A35DC2-CA8C-4150-ADD5-353B1480CCE8}" presName="diagram" presStyleCnt="0">
        <dgm:presLayoutVars>
          <dgm:dir/>
          <dgm:resizeHandles val="exact"/>
        </dgm:presLayoutVars>
      </dgm:prSet>
      <dgm:spPr/>
    </dgm:pt>
    <dgm:pt modelId="{DBC1AB42-2CB1-40D7-879A-AEAE946DAC28}" type="pres">
      <dgm:prSet presAssocID="{D327427F-59DA-40C1-A32D-3F895DA53B9E}" presName="node" presStyleLbl="node1" presStyleIdx="0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0CFB1ECC-657A-4FA6-A67A-8E724E608C94}" type="pres">
      <dgm:prSet presAssocID="{FE32DB41-EA1D-442F-949E-0026BAE4FE76}" presName="sibTrans" presStyleCnt="0"/>
      <dgm:spPr/>
    </dgm:pt>
    <dgm:pt modelId="{99E7FEDC-9548-46F2-BD0F-C85151ACE850}" type="pres">
      <dgm:prSet presAssocID="{825E3CF3-33C1-446A-8F56-AAB8195DCB46}" presName="node" presStyleLbl="node1" presStyleIdx="1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B7314D61-E60D-4A9B-9E1E-FB2B7F001D9C}" type="pres">
      <dgm:prSet presAssocID="{788BD90B-7F1F-4C55-A85A-A6DC15FD8C69}" presName="sibTrans" presStyleCnt="0"/>
      <dgm:spPr/>
    </dgm:pt>
    <dgm:pt modelId="{58BD3F34-EB2D-4FF4-8B60-94BCCC2754C5}" type="pres">
      <dgm:prSet presAssocID="{26F18816-5024-4EB2-B2F1-DE6C6486E4A5}" presName="node" presStyleLbl="node1" presStyleIdx="2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44D6125-8283-47B3-AA92-A28A0CD46B89}" type="pres">
      <dgm:prSet presAssocID="{3FB67953-6D6E-40EF-83E0-54CBFD86138E}" presName="sibTrans" presStyleCnt="0"/>
      <dgm:spPr/>
    </dgm:pt>
    <dgm:pt modelId="{B8561E01-94AA-45F2-BA1B-34D521ACE2CC}" type="pres">
      <dgm:prSet presAssocID="{0738039E-F665-4F9C-A1F3-D10B9293B580}" presName="node" presStyleLbl="node1" presStyleIdx="3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C640EAD-7524-4B64-94EF-C022C4720018}" type="pres">
      <dgm:prSet presAssocID="{AE8954FF-95D1-42F2-8313-4DC1CB535EAD}" presName="sibTrans" presStyleCnt="0"/>
      <dgm:spPr/>
    </dgm:pt>
    <dgm:pt modelId="{E2AB4257-C97F-464F-A485-672E03EB1E8D}" type="pres">
      <dgm:prSet presAssocID="{8607A97C-5790-437B-A253-D5FC3631E214}" presName="node" presStyleLbl="node1" presStyleIdx="4" presStyleCnt="6" custLinFactNeighborX="-1277" custLinFactNeighborY="43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FADD1AC-B575-4816-BBE8-6EBC7267C826}" type="pres">
      <dgm:prSet presAssocID="{F3B9DE1B-2262-4000-9CD5-C95B44E5ACAC}" presName="sibTrans" presStyleCnt="0"/>
      <dgm:spPr/>
    </dgm:pt>
    <dgm:pt modelId="{4D2472D3-0E72-4F0F-9CA0-0968BD5428E3}" type="pres">
      <dgm:prSet presAssocID="{B65F4B97-DAF2-49CD-8848-D24925D32427}" presName="node" presStyleLbl="node1" presStyleIdx="5" presStyleCnt="6" custLinFactNeighborX="0" custLinFactNeighborY="116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7B8B572E-BD4D-4E0B-BA40-63677050BEA8}" type="presOf" srcId="{D327427F-59DA-40C1-A32D-3F895DA53B9E}" destId="{DBC1AB42-2CB1-40D7-879A-AEAE946DAC28}" srcOrd="0" destOrd="0" presId="urn:microsoft.com/office/officeart/2005/8/layout/default"/>
    <dgm:cxn modelId="{946F69B3-CD0D-41D3-9EF5-034B6829AE21}" type="presOf" srcId="{D8A35DC2-CA8C-4150-ADD5-353B1480CCE8}" destId="{51DED09B-2704-4299-96DB-1C52B07C069C}" srcOrd="0" destOrd="0" presId="urn:microsoft.com/office/officeart/2005/8/layout/default"/>
    <dgm:cxn modelId="{71AAC948-BF18-4783-9137-638BC26F9E75}" type="presOf" srcId="{26F18816-5024-4EB2-B2F1-DE6C6486E4A5}" destId="{58BD3F34-EB2D-4FF4-8B60-94BCCC2754C5}" srcOrd="0" destOrd="0" presId="urn:microsoft.com/office/officeart/2005/8/layout/default"/>
    <dgm:cxn modelId="{2D577B5B-463B-4A70-8601-B887F6D8AA77}" type="presOf" srcId="{B65F4B97-DAF2-49CD-8848-D24925D32427}" destId="{4D2472D3-0E72-4F0F-9CA0-0968BD5428E3}" srcOrd="0" destOrd="0" presId="urn:microsoft.com/office/officeart/2005/8/layout/default"/>
    <dgm:cxn modelId="{D9459602-76FC-4779-84D8-DE516BFBF87F}" type="presOf" srcId="{8607A97C-5790-437B-A253-D5FC3631E214}" destId="{E2AB4257-C97F-464F-A485-672E03EB1E8D}" srcOrd="0" destOrd="0" presId="urn:microsoft.com/office/officeart/2005/8/layout/default"/>
    <dgm:cxn modelId="{88E733F4-367C-4A2F-8500-920F8CCD89D2}" type="presOf" srcId="{0738039E-F665-4F9C-A1F3-D10B9293B580}" destId="{B8561E01-94AA-45F2-BA1B-34D521ACE2CC}" srcOrd="0" destOrd="0" presId="urn:microsoft.com/office/officeart/2005/8/layout/default"/>
    <dgm:cxn modelId="{54508B07-2CC3-406B-BCE4-6E769861BF80}" srcId="{D8A35DC2-CA8C-4150-ADD5-353B1480CCE8}" destId="{D327427F-59DA-40C1-A32D-3F895DA53B9E}" srcOrd="0" destOrd="0" parTransId="{86F509C0-4224-406C-8FD3-F972AF10B99D}" sibTransId="{FE32DB41-EA1D-442F-949E-0026BAE4FE76}"/>
    <dgm:cxn modelId="{6CBC51AB-4F7F-4F59-9F04-0FB4E72BA16B}" srcId="{D8A35DC2-CA8C-4150-ADD5-353B1480CCE8}" destId="{8607A97C-5790-437B-A253-D5FC3631E214}" srcOrd="4" destOrd="0" parTransId="{2AEAA901-9091-42D9-B4A4-FACB4D75003B}" sibTransId="{F3B9DE1B-2262-4000-9CD5-C95B44E5ACAC}"/>
    <dgm:cxn modelId="{DEFFC8F1-516F-470F-ABBA-759B70660196}" srcId="{D8A35DC2-CA8C-4150-ADD5-353B1480CCE8}" destId="{B65F4B97-DAF2-49CD-8848-D24925D32427}" srcOrd="5" destOrd="0" parTransId="{E13284A7-5874-4AF7-B8A5-4D9AA136EF17}" sibTransId="{99EFF063-6C23-4982-9063-C9CD55ED0C5C}"/>
    <dgm:cxn modelId="{849E4A05-458E-478B-8A93-FC733E514EE7}" type="presOf" srcId="{825E3CF3-33C1-446A-8F56-AAB8195DCB46}" destId="{99E7FEDC-9548-46F2-BD0F-C85151ACE850}" srcOrd="0" destOrd="0" presId="urn:microsoft.com/office/officeart/2005/8/layout/default"/>
    <dgm:cxn modelId="{D3673C90-28F3-4A46-9EC3-588E9F30F188}" srcId="{D8A35DC2-CA8C-4150-ADD5-353B1480CCE8}" destId="{0738039E-F665-4F9C-A1F3-D10B9293B580}" srcOrd="3" destOrd="0" parTransId="{6624FD53-AC43-4BA7-9669-633D035C6FFA}" sibTransId="{AE8954FF-95D1-42F2-8313-4DC1CB535EAD}"/>
    <dgm:cxn modelId="{16F22EC8-9AC6-4021-AABF-9BE0F0CD8035}" srcId="{D8A35DC2-CA8C-4150-ADD5-353B1480CCE8}" destId="{825E3CF3-33C1-446A-8F56-AAB8195DCB46}" srcOrd="1" destOrd="0" parTransId="{6915BD15-272A-43DA-8AB9-21C47800779A}" sibTransId="{788BD90B-7F1F-4C55-A85A-A6DC15FD8C69}"/>
    <dgm:cxn modelId="{2710F129-6735-4FA7-AA39-77DDD85B1A53}" srcId="{D8A35DC2-CA8C-4150-ADD5-353B1480CCE8}" destId="{26F18816-5024-4EB2-B2F1-DE6C6486E4A5}" srcOrd="2" destOrd="0" parTransId="{0D3840A0-0732-4DC2-A6CB-5616102634D8}" sibTransId="{3FB67953-6D6E-40EF-83E0-54CBFD86138E}"/>
    <dgm:cxn modelId="{6540CFCA-A557-4422-8E1B-15F1EA16F582}" type="presParOf" srcId="{51DED09B-2704-4299-96DB-1C52B07C069C}" destId="{DBC1AB42-2CB1-40D7-879A-AEAE946DAC28}" srcOrd="0" destOrd="0" presId="urn:microsoft.com/office/officeart/2005/8/layout/default"/>
    <dgm:cxn modelId="{DF7056DB-21D5-4976-A382-770760349A5F}" type="presParOf" srcId="{51DED09B-2704-4299-96DB-1C52B07C069C}" destId="{0CFB1ECC-657A-4FA6-A67A-8E724E608C94}" srcOrd="1" destOrd="0" presId="urn:microsoft.com/office/officeart/2005/8/layout/default"/>
    <dgm:cxn modelId="{A8F35B8F-53E7-4EC4-8EF8-0294C40B9A97}" type="presParOf" srcId="{51DED09B-2704-4299-96DB-1C52B07C069C}" destId="{99E7FEDC-9548-46F2-BD0F-C85151ACE850}" srcOrd="2" destOrd="0" presId="urn:microsoft.com/office/officeart/2005/8/layout/default"/>
    <dgm:cxn modelId="{565361DC-E080-4D53-BC74-D9631DEF4A5D}" type="presParOf" srcId="{51DED09B-2704-4299-96DB-1C52B07C069C}" destId="{B7314D61-E60D-4A9B-9E1E-FB2B7F001D9C}" srcOrd="3" destOrd="0" presId="urn:microsoft.com/office/officeart/2005/8/layout/default"/>
    <dgm:cxn modelId="{828027B2-91A2-4A8F-955B-12BB99790976}" type="presParOf" srcId="{51DED09B-2704-4299-96DB-1C52B07C069C}" destId="{58BD3F34-EB2D-4FF4-8B60-94BCCC2754C5}" srcOrd="4" destOrd="0" presId="urn:microsoft.com/office/officeart/2005/8/layout/default"/>
    <dgm:cxn modelId="{4FB67871-1BAF-4D52-A557-F208660153D3}" type="presParOf" srcId="{51DED09B-2704-4299-96DB-1C52B07C069C}" destId="{D44D6125-8283-47B3-AA92-A28A0CD46B89}" srcOrd="5" destOrd="0" presId="urn:microsoft.com/office/officeart/2005/8/layout/default"/>
    <dgm:cxn modelId="{5E22E757-629D-4B7E-A8CE-20B88E2AEB0F}" type="presParOf" srcId="{51DED09B-2704-4299-96DB-1C52B07C069C}" destId="{B8561E01-94AA-45F2-BA1B-34D521ACE2CC}" srcOrd="6" destOrd="0" presId="urn:microsoft.com/office/officeart/2005/8/layout/default"/>
    <dgm:cxn modelId="{80A3A9D7-8E0C-44A9-9FAB-308EBE50B109}" type="presParOf" srcId="{51DED09B-2704-4299-96DB-1C52B07C069C}" destId="{7C640EAD-7524-4B64-94EF-C022C4720018}" srcOrd="7" destOrd="0" presId="urn:microsoft.com/office/officeart/2005/8/layout/default"/>
    <dgm:cxn modelId="{24AD77FF-EC8B-405E-BACB-716A774D6090}" type="presParOf" srcId="{51DED09B-2704-4299-96DB-1C52B07C069C}" destId="{E2AB4257-C97F-464F-A485-672E03EB1E8D}" srcOrd="8" destOrd="0" presId="urn:microsoft.com/office/officeart/2005/8/layout/default"/>
    <dgm:cxn modelId="{A5E58C67-DD9E-4B7C-869E-D21015F5A459}" type="presParOf" srcId="{51DED09B-2704-4299-96DB-1C52B07C069C}" destId="{8FADD1AC-B575-4816-BBE8-6EBC7267C826}" srcOrd="9" destOrd="0" presId="urn:microsoft.com/office/officeart/2005/8/layout/default"/>
    <dgm:cxn modelId="{B597E9E2-2C62-4C2F-9E98-AA8E2698D890}" type="presParOf" srcId="{51DED09B-2704-4299-96DB-1C52B07C069C}" destId="{4D2472D3-0E72-4F0F-9CA0-0968BD5428E3}" srcOrd="10" destOrd="0" presId="urn:microsoft.com/office/officeart/2005/8/layout/default"/>
  </dgm:cxnLst>
  <dgm:bg>
    <a:noFill/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C1AB42-2CB1-40D7-879A-AEAE946DAC28}">
      <dsp:nvSpPr>
        <dsp:cNvPr id="0" name=""/>
        <dsp:cNvSpPr/>
      </dsp:nvSpPr>
      <dsp:spPr>
        <a:xfrm>
          <a:off x="0" y="537864"/>
          <a:ext cx="1934765" cy="1160859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企业战略规划：</a:t>
          </a:r>
          <a:endParaRPr lang="en-US" altLang="zh-CN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认清当前经济形势、企业发展现状、做好企业战略规划</a:t>
          </a:r>
          <a:r>
            <a:rPr lang="zh-CN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。</a:t>
          </a:r>
          <a:endParaRPr lang="zh-CN" altLang="en-US" sz="1200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0" y="537864"/>
        <a:ext cx="1934765" cy="1160859"/>
      </dsp:txXfrm>
    </dsp:sp>
    <dsp:sp modelId="{99E7FEDC-9548-46F2-BD0F-C85151ACE850}">
      <dsp:nvSpPr>
        <dsp:cNvPr id="0" name=""/>
        <dsp:cNvSpPr/>
      </dsp:nvSpPr>
      <dsp:spPr>
        <a:xfrm>
          <a:off x="2128242" y="537864"/>
          <a:ext cx="1934765" cy="1160859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上市直通车：</a:t>
          </a:r>
          <a:endParaRPr lang="en-US" altLang="zh-CN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规划上市途径、指导企业上市融资并购、市值管理。</a:t>
          </a:r>
          <a:endParaRPr lang="zh-CN" altLang="en-US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128242" y="537864"/>
        <a:ext cx="1934765" cy="1160859"/>
      </dsp:txXfrm>
    </dsp:sp>
    <dsp:sp modelId="{58BD3F34-EB2D-4FF4-8B60-94BCCC2754C5}">
      <dsp:nvSpPr>
        <dsp:cNvPr id="0" name=""/>
        <dsp:cNvSpPr/>
      </dsp:nvSpPr>
      <dsp:spPr>
        <a:xfrm>
          <a:off x="4256484" y="537864"/>
          <a:ext cx="1934765" cy="1160859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金融力建设：</a:t>
          </a:r>
          <a:endParaRPr lang="en-US" altLang="zh-CN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量身打造适合企业发展的投、融资决策方案。</a:t>
          </a:r>
        </a:p>
      </dsp:txBody>
      <dsp:txXfrm>
        <a:off x="4256484" y="537864"/>
        <a:ext cx="1934765" cy="1160859"/>
      </dsp:txXfrm>
    </dsp:sp>
    <dsp:sp modelId="{B8561E01-94AA-45F2-BA1B-34D521ACE2CC}">
      <dsp:nvSpPr>
        <dsp:cNvPr id="0" name=""/>
        <dsp:cNvSpPr/>
      </dsp:nvSpPr>
      <dsp:spPr>
        <a:xfrm>
          <a:off x="0" y="1892200"/>
          <a:ext cx="1934765" cy="1160859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导师负责制：</a:t>
          </a:r>
          <a:endParaRPr lang="en-US" altLang="zh-CN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导师了解、点评学员企业，指导解决企业投融资系列问题</a:t>
          </a: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。</a:t>
          </a:r>
        </a:p>
      </dsp:txBody>
      <dsp:txXfrm>
        <a:off x="0" y="1892200"/>
        <a:ext cx="1934765" cy="1160859"/>
      </dsp:txXfrm>
    </dsp:sp>
    <dsp:sp modelId="{E2AB4257-C97F-464F-A485-672E03EB1E8D}">
      <dsp:nvSpPr>
        <dsp:cNvPr id="0" name=""/>
        <dsp:cNvSpPr/>
      </dsp:nvSpPr>
      <dsp:spPr>
        <a:xfrm>
          <a:off x="2103535" y="1897262"/>
          <a:ext cx="1934765" cy="1160859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上市资源对接：</a:t>
          </a:r>
          <a:endParaRPr lang="en-US" altLang="zh-CN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广泛结交企业上市各环节人脉与知名企业家分享商道人生</a:t>
          </a:r>
          <a:r>
            <a:rPr lang="zh-CN" altLang="en-US" sz="1200" kern="1200">
              <a:latin typeface="微软雅黑" panose="020B0503020204020204" pitchFamily="34" charset="-122"/>
              <a:ea typeface="微软雅黑" panose="020B0503020204020204" pitchFamily="34" charset="-122"/>
            </a:rPr>
            <a:t>。</a:t>
          </a:r>
        </a:p>
      </dsp:txBody>
      <dsp:txXfrm>
        <a:off x="2103535" y="1897262"/>
        <a:ext cx="1934765" cy="1160859"/>
      </dsp:txXfrm>
    </dsp:sp>
    <dsp:sp modelId="{4D2472D3-0E72-4F0F-9CA0-0968BD5428E3}">
      <dsp:nvSpPr>
        <dsp:cNvPr id="0" name=""/>
        <dsp:cNvSpPr/>
      </dsp:nvSpPr>
      <dsp:spPr>
        <a:xfrm>
          <a:off x="4256484" y="1905701"/>
          <a:ext cx="1934765" cy="1160859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新颖落地课：</a:t>
          </a:r>
          <a:endParaRPr lang="en-US" altLang="zh-CN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以上市全流程为主线、专题讲授</a:t>
          </a:r>
          <a:r>
            <a:rPr 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+</a:t>
          </a: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案例分析</a:t>
          </a:r>
          <a:r>
            <a:rPr lang="en-US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+</a:t>
          </a:r>
          <a:r>
            <a:rPr lang="zh-CN" sz="1200" b="1" kern="1200">
              <a:latin typeface="微软雅黑" panose="020B0503020204020204" pitchFamily="34" charset="-122"/>
              <a:ea typeface="微软雅黑" panose="020B0503020204020204" pitchFamily="34" charset="-122"/>
            </a:rPr>
            <a:t>提问答疑。</a:t>
          </a:r>
          <a:endParaRPr lang="zh-CN" altLang="en-US" sz="1200" b="1" kern="1200"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4256484" y="1905701"/>
        <a:ext cx="1934765" cy="1160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off" val="ctr"/>
          <dgm:param type="contDir" val="sameDir"/>
          <dgm:param type="grDir" val="tL"/>
          <dgm:param type="flowDir" val="row"/>
        </dgm:alg>
      </dgm:if>
      <dgm:else name="Name2">
        <dgm:alg type="snake">
          <dgm:param type="off" val="ctr"/>
          <dgm:param type="contDir" val="same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4B354-1B2C-442D-8293-7F13CA97B9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402</Words>
  <Characters>2297</Characters>
  <Lines>19</Lines>
  <Paragraphs>5</Paragraphs>
  <TotalTime>2</TotalTime>
  <ScaleCrop>false</ScaleCrop>
  <LinksUpToDate>false</LinksUpToDate>
  <CharactersWithSpaces>2694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2019-03-29T04:32:00Z</dcterms:created>
  <dc:creator>A史云成℡₁₃₅₅₂₅₂₂₁₅₄</dc:creator>
  <cp:lastModifiedBy>郝万玉</cp:lastModifiedBy>
  <dcterms:modified xsi:type="dcterms:W3CDTF">2019-04-12T03:27:56Z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